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ED" w:rsidRPr="002C3CED" w:rsidRDefault="005F4146" w:rsidP="002C3CED">
      <w:pPr>
        <w:ind w:firstLine="709"/>
        <w:jc w:val="center"/>
        <w:rPr>
          <w:rFonts w:ascii="Times New Roman" w:hAnsi="Times New Roman" w:cs="Times New Roman"/>
          <w:b/>
          <w:sz w:val="28"/>
          <w:szCs w:val="28"/>
        </w:rPr>
      </w:pPr>
      <w:r w:rsidRPr="002C3CED">
        <w:rPr>
          <w:rFonts w:ascii="Times New Roman" w:hAnsi="Times New Roman" w:cs="Times New Roman"/>
          <w:b/>
          <w:sz w:val="28"/>
          <w:szCs w:val="28"/>
        </w:rPr>
        <w:t xml:space="preserve">Подготовлено Заключение </w:t>
      </w:r>
      <w:r w:rsidR="002C3CED" w:rsidRPr="002C3CED">
        <w:rPr>
          <w:rStyle w:val="a3"/>
          <w:rFonts w:ascii="Times New Roman" w:hAnsi="Times New Roman" w:cs="Times New Roman"/>
          <w:sz w:val="28"/>
          <w:szCs w:val="28"/>
          <w:shd w:val="clear" w:color="auto" w:fill="FFFFFF"/>
        </w:rPr>
        <w:t>по результатам проведения</w:t>
      </w:r>
      <w:r w:rsidR="002C3CED" w:rsidRPr="002C3CED">
        <w:rPr>
          <w:rStyle w:val="a3"/>
          <w:rFonts w:ascii="Times New Roman" w:hAnsi="Times New Roman" w:cs="Times New Roman"/>
          <w:b w:val="0"/>
          <w:sz w:val="28"/>
          <w:szCs w:val="28"/>
          <w:shd w:val="clear" w:color="auto" w:fill="FFFFFF"/>
        </w:rPr>
        <w:t xml:space="preserve"> </w:t>
      </w:r>
      <w:r w:rsidR="002C3CED" w:rsidRPr="002C3CED">
        <w:rPr>
          <w:rFonts w:ascii="Times New Roman" w:hAnsi="Times New Roman" w:cs="Times New Roman"/>
          <w:b/>
          <w:sz w:val="28"/>
          <w:szCs w:val="28"/>
          <w:shd w:val="clear" w:color="auto" w:fill="FFFFFF"/>
        </w:rPr>
        <w:t>экспертизы на соответствие бюджетному законодательству проекта Решения «О бюджете Талдомского городского округа на 2021 год и на плановый период 2022 и 2023 годов»</w:t>
      </w:r>
    </w:p>
    <w:p w:rsidR="00AE303A" w:rsidRPr="005F4146" w:rsidRDefault="00AE303A" w:rsidP="005F4146">
      <w:pPr>
        <w:ind w:firstLine="709"/>
        <w:jc w:val="center"/>
        <w:rPr>
          <w:rFonts w:ascii="Times New Roman" w:hAnsi="Times New Roman" w:cs="Times New Roman"/>
          <w:b/>
          <w:sz w:val="28"/>
          <w:szCs w:val="28"/>
        </w:rPr>
      </w:pPr>
    </w:p>
    <w:p w:rsidR="00AE303A" w:rsidRDefault="000C0A21" w:rsidP="00D53D37">
      <w:pPr>
        <w:ind w:firstLine="709"/>
        <w:jc w:val="both"/>
        <w:rPr>
          <w:rFonts w:ascii="Times New Roman" w:hAnsi="Times New Roman" w:cs="Times New Roman"/>
          <w:sz w:val="28"/>
          <w:szCs w:val="28"/>
        </w:rPr>
      </w:pPr>
      <w:r w:rsidRPr="000C0A21">
        <w:rPr>
          <w:rFonts w:ascii="Times New Roman" w:hAnsi="Times New Roman" w:cs="Times New Roman"/>
          <w:noProof/>
          <w:sz w:val="28"/>
          <w:szCs w:val="28"/>
        </w:rPr>
        <w:drawing>
          <wp:inline distT="0" distB="0" distL="0" distR="0">
            <wp:extent cx="5510047" cy="2886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645" cy="2893721"/>
                    </a:xfrm>
                    <a:prstGeom prst="rect">
                      <a:avLst/>
                    </a:prstGeom>
                    <a:noFill/>
                    <a:ln>
                      <a:noFill/>
                    </a:ln>
                  </pic:spPr>
                </pic:pic>
              </a:graphicData>
            </a:graphic>
          </wp:inline>
        </w:drawing>
      </w:r>
    </w:p>
    <w:p w:rsidR="002C3CED" w:rsidRPr="00483DF1" w:rsidRDefault="002C3CED" w:rsidP="002C3CED">
      <w:pPr>
        <w:ind w:firstLine="709"/>
        <w:jc w:val="both"/>
        <w:rPr>
          <w:rFonts w:ascii="Times New Roman" w:hAnsi="Times New Roman" w:cs="Times New Roman"/>
          <w:sz w:val="28"/>
          <w:szCs w:val="28"/>
        </w:rPr>
      </w:pPr>
      <w:r w:rsidRPr="00483DF1">
        <w:rPr>
          <w:rFonts w:ascii="Times New Roman" w:hAnsi="Times New Roman" w:cs="Times New Roman"/>
          <w:sz w:val="28"/>
          <w:szCs w:val="28"/>
        </w:rPr>
        <w:t>В</w:t>
      </w:r>
      <w:r w:rsidRPr="00483DF1">
        <w:rPr>
          <w:rFonts w:ascii="Times New Roman" w:hAnsi="Times New Roman" w:cs="Times New Roman"/>
          <w:sz w:val="28"/>
          <w:szCs w:val="28"/>
        </w:rPr>
        <w:t xml:space="preserve"> соответствии с Бюджетным кодексом Российской Федерации, Положением о Контрольно-счетной палате Талдомского городского округа Московской области, Положением о бюджетном процессе в Талдомском городском округе Московской области (далее  – Положение о бюджетном процессе) и п. 3.2. Плана работы Контрольно-счетной палаты Талдомского городского округа на 2020 год</w:t>
      </w:r>
      <w:r w:rsidRPr="00483DF1">
        <w:rPr>
          <w:rFonts w:ascii="Times New Roman" w:hAnsi="Times New Roman" w:cs="Times New Roman"/>
          <w:sz w:val="28"/>
          <w:szCs w:val="28"/>
        </w:rPr>
        <w:t xml:space="preserve"> Контрольно-счетная палата Талдомского городского округа провела</w:t>
      </w:r>
      <w:r w:rsidRPr="00483DF1">
        <w:rPr>
          <w:rStyle w:val="a3"/>
          <w:rFonts w:ascii="Times New Roman" w:hAnsi="Times New Roman" w:cs="Times New Roman"/>
          <w:sz w:val="28"/>
          <w:szCs w:val="28"/>
          <w:shd w:val="clear" w:color="auto" w:fill="FFFFFF"/>
        </w:rPr>
        <w:t xml:space="preserve"> </w:t>
      </w:r>
      <w:r w:rsidRPr="00483DF1">
        <w:rPr>
          <w:rFonts w:ascii="Times New Roman" w:hAnsi="Times New Roman" w:cs="Times New Roman"/>
          <w:sz w:val="28"/>
          <w:szCs w:val="28"/>
          <w:shd w:val="clear" w:color="auto" w:fill="FFFFFF"/>
        </w:rPr>
        <w:t>экспертиз</w:t>
      </w:r>
      <w:r w:rsidRPr="00483DF1">
        <w:rPr>
          <w:rFonts w:ascii="Times New Roman" w:hAnsi="Times New Roman" w:cs="Times New Roman"/>
          <w:sz w:val="28"/>
          <w:szCs w:val="28"/>
          <w:shd w:val="clear" w:color="auto" w:fill="FFFFFF"/>
        </w:rPr>
        <w:t>у</w:t>
      </w:r>
      <w:r w:rsidRPr="00483DF1">
        <w:rPr>
          <w:rFonts w:ascii="Times New Roman" w:hAnsi="Times New Roman" w:cs="Times New Roman"/>
          <w:sz w:val="28"/>
          <w:szCs w:val="28"/>
          <w:shd w:val="clear" w:color="auto" w:fill="FFFFFF"/>
        </w:rPr>
        <w:t xml:space="preserve"> соответствия проекта Решения «О бюджете Талдомского городского округа на 2021 год и на плановый период 2022 и 2023 годов» (далее – проект Решения) и документов, представленных одновременно с ним, положениям Бюджетного кодекса РФ</w:t>
      </w:r>
      <w:r w:rsidRPr="00483DF1">
        <w:rPr>
          <w:rFonts w:ascii="Times New Roman" w:hAnsi="Times New Roman" w:cs="Times New Roman"/>
          <w:sz w:val="28"/>
          <w:szCs w:val="28"/>
          <w:shd w:val="clear" w:color="auto" w:fill="FFFFFF"/>
        </w:rPr>
        <w:t>.</w:t>
      </w:r>
      <w:r w:rsidRPr="00483DF1">
        <w:rPr>
          <w:rFonts w:ascii="Times New Roman" w:hAnsi="Times New Roman" w:cs="Times New Roman"/>
          <w:sz w:val="28"/>
          <w:szCs w:val="28"/>
        </w:rPr>
        <w:t xml:space="preserve"> </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 xml:space="preserve">Проект решения внесен администрацией Талдомского городского округа на рассмотрение и утверждение в Совет депутатов Талдомского городского округа 16 ноября 2020 г. </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В соответствии со статьей 21 Положения о бюджетном процессе проект решения о бюджете Талдомского городского округа с документами и материалами направляется председателем Совета депутатов в Контрольно-счетную палату для проведения экспертизы проекта решения о бюджете Талдомского городского округа на соответствие бюджетному законодательству и подготовки заключения по результатам такой экспертизы.</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lastRenderedPageBreak/>
        <w:t xml:space="preserve">Проект решения с приложениями, документами и материалами согласно перечню, указанному в статье 184.2 Бюджетного кодекса РФ, направлен в Контрольно-счетную палату 18 ноября 2020 г.  </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В соответствии со статьей 20 Положения о бюджетном процессе одновременно с проектом решения представлены следующие документы и материалы:</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1. Основные направления бюджетной и налоговой политики Талдомского городского округа на 2021 год и на плановый период 2022 и 2023 годов;</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2. Предварительные итоги социально-экономического развития Талдомского городского округа за истекший период 2020 года (социально-экономическое положение Талдомского городского округа за 6 месяцев 2020 года) и ожидаемые итоги социально-экономического развития Талдомского городского округа за 2020 год;</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3. Прогноз социально-экономического развития Талдомского городского округа Московской области на 2021-2023 годы;</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4. Основные параметры бюджета Талдомского городского округа на 2021 год и на плановый период 2022 и 2023 г.г.;</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5. Пояснительная записка к проекту решения;</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7. Оценка ожидаемого исполнения бюджета Талдомского городского округа за 2020 год;</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8. Реестр источников доходов бюджета Талдомского городского округа;</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9. Проекты паспортов муниципальных программ Талдомского городского округа.</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В соответствии с п. 4 ст. 169 Бюджетного кодекса РФ, ст. 1 Закона Московской области от 29.04.2014 №42/2014-ОЗ «О сроке, на который составляются и утверждаются проекты бюджетов муниципальных районов и городских округов Московской области», ст. 12 Положения о бюджетном процессе бюджет Талдомского городского округа составлен сроком на три года –  очередной финансовый год и плановый период.</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 xml:space="preserve">В соответствии с п. 1 ст. 184.1 Бюджетного кодекса РФ, ст. 19 Положения о бюджетном процессе в проекте решения о бюджете содержатся основные характеристики бюджета, к которым относятся общий объем </w:t>
      </w:r>
      <w:r w:rsidRPr="00483DF1">
        <w:rPr>
          <w:rFonts w:ascii="Times New Roman" w:hAnsi="Times New Roman" w:cs="Times New Roman"/>
          <w:sz w:val="28"/>
          <w:szCs w:val="28"/>
        </w:rPr>
        <w:lastRenderedPageBreak/>
        <w:t>доходов бюджета, общий объем расходов, дефицит (профицит) бюджета, а также иные показатели, установленные Бюджетным кодексом РФ, законами Московской области, решениями Совета депутатов Талдомского городского округа (кроме решений о бюджете).</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В соответствии с п. 3 ст. 184.1 Бюджетного кодекса РФ, ст. 19 Положения о бюджетном процессе проектом бюджета утверждаются:</w:t>
      </w:r>
    </w:p>
    <w:p w:rsidR="00483DF1" w:rsidRPr="00483DF1" w:rsidRDefault="00483DF1" w:rsidP="00483DF1">
      <w:pPr>
        <w:pStyle w:val="ConsPlusNormal"/>
        <w:spacing w:before="220"/>
        <w:ind w:firstLine="540"/>
        <w:jc w:val="both"/>
        <w:rPr>
          <w:sz w:val="28"/>
          <w:szCs w:val="28"/>
        </w:rPr>
      </w:pPr>
      <w:r w:rsidRPr="00483DF1">
        <w:rPr>
          <w:sz w:val="28"/>
          <w:szCs w:val="28"/>
        </w:rPr>
        <w:t>- доходы бюджета (приложение №1);</w:t>
      </w:r>
    </w:p>
    <w:p w:rsidR="00483DF1" w:rsidRPr="00483DF1" w:rsidRDefault="00483DF1" w:rsidP="00483DF1">
      <w:pPr>
        <w:pStyle w:val="ConsPlusNormal"/>
        <w:spacing w:before="220"/>
        <w:ind w:firstLine="540"/>
        <w:jc w:val="both"/>
        <w:rPr>
          <w:sz w:val="28"/>
          <w:szCs w:val="28"/>
        </w:rPr>
      </w:pPr>
      <w:r w:rsidRPr="00483DF1">
        <w:rPr>
          <w:sz w:val="28"/>
          <w:szCs w:val="28"/>
        </w:rPr>
        <w:t>- перечень главных администраторов доходов бюджета (приложение №2);</w:t>
      </w:r>
    </w:p>
    <w:p w:rsidR="00483DF1" w:rsidRPr="00483DF1" w:rsidRDefault="00483DF1" w:rsidP="00483DF1">
      <w:pPr>
        <w:pStyle w:val="ConsPlusNormal"/>
        <w:spacing w:before="220"/>
        <w:ind w:firstLine="540"/>
        <w:jc w:val="both"/>
        <w:rPr>
          <w:sz w:val="28"/>
          <w:szCs w:val="28"/>
        </w:rPr>
      </w:pPr>
      <w:r w:rsidRPr="00483DF1">
        <w:rPr>
          <w:sz w:val="28"/>
          <w:szCs w:val="28"/>
        </w:rPr>
        <w:t>- перечень главных администраторов источников финансирования дефицита бюджета (приложение №17);</w:t>
      </w:r>
    </w:p>
    <w:p w:rsidR="00483DF1" w:rsidRPr="00483DF1" w:rsidRDefault="00483DF1" w:rsidP="00483DF1">
      <w:pPr>
        <w:pStyle w:val="ConsPlusNormal"/>
        <w:spacing w:before="220"/>
        <w:ind w:firstLine="540"/>
        <w:jc w:val="both"/>
        <w:rPr>
          <w:sz w:val="28"/>
          <w:szCs w:val="28"/>
        </w:rPr>
      </w:pPr>
      <w:r w:rsidRPr="00483DF1">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(приложения №№7, 8);</w:t>
      </w:r>
    </w:p>
    <w:p w:rsidR="00483DF1" w:rsidRPr="00483DF1" w:rsidRDefault="00483DF1" w:rsidP="00483DF1">
      <w:pPr>
        <w:pStyle w:val="ConsPlusNormal"/>
        <w:spacing w:before="220"/>
        <w:ind w:firstLine="540"/>
        <w:jc w:val="both"/>
        <w:rPr>
          <w:sz w:val="28"/>
          <w:szCs w:val="28"/>
        </w:rPr>
      </w:pPr>
      <w:r w:rsidRPr="00483DF1">
        <w:rPr>
          <w:sz w:val="28"/>
          <w:szCs w:val="28"/>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5" w:history="1">
        <w:r w:rsidRPr="00483DF1">
          <w:rPr>
            <w:sz w:val="28"/>
            <w:szCs w:val="28"/>
          </w:rPr>
          <w:t>кодексом</w:t>
        </w:r>
      </w:hyperlink>
      <w:r w:rsidRPr="00483DF1">
        <w:rPr>
          <w:sz w:val="28"/>
          <w:szCs w:val="28"/>
        </w:rPr>
        <w:t xml:space="preserve"> Российской Федерации (приложения №№3, 4);</w:t>
      </w:r>
    </w:p>
    <w:p w:rsidR="00483DF1" w:rsidRPr="00483DF1" w:rsidRDefault="00483DF1" w:rsidP="00483DF1">
      <w:pPr>
        <w:pStyle w:val="ConsPlusNormal"/>
        <w:spacing w:before="220"/>
        <w:ind w:firstLine="540"/>
        <w:jc w:val="both"/>
        <w:rPr>
          <w:sz w:val="28"/>
          <w:szCs w:val="28"/>
        </w:rPr>
      </w:pPr>
      <w:r w:rsidRPr="00483DF1">
        <w:rPr>
          <w:sz w:val="28"/>
          <w:szCs w:val="28"/>
        </w:rPr>
        <w:t>- ведомственная структура расходов бюджета на очередной финансовый год и плановый период (приложения №№5, 6);</w:t>
      </w:r>
    </w:p>
    <w:p w:rsidR="00483DF1" w:rsidRPr="00483DF1" w:rsidRDefault="00483DF1" w:rsidP="00483DF1">
      <w:pPr>
        <w:pStyle w:val="ConsPlusNormal"/>
        <w:spacing w:before="220"/>
        <w:ind w:firstLine="540"/>
        <w:jc w:val="both"/>
        <w:rPr>
          <w:sz w:val="28"/>
          <w:szCs w:val="28"/>
        </w:rPr>
      </w:pPr>
      <w:r w:rsidRPr="00483DF1">
        <w:rPr>
          <w:sz w:val="28"/>
          <w:szCs w:val="28"/>
        </w:rPr>
        <w:t>- общий объем бюджетных ассигнований, направленных на исполнение публичных нормативных обязательств (статья 5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(п.п. а п. 1 ст. 1, п.п. а п. 2 ст. 1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(п.п. б п. 2 ст. 1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lastRenderedPageBreak/>
        <w:t>- источники финансирования дефицита бюджета на очередной финансовый год и плановый период (приложения №№15, 16);</w:t>
      </w:r>
    </w:p>
    <w:p w:rsidR="00483DF1" w:rsidRPr="00483DF1" w:rsidRDefault="00483DF1" w:rsidP="00483DF1">
      <w:pPr>
        <w:pStyle w:val="ConsPlusNormal"/>
        <w:spacing w:before="220"/>
        <w:ind w:firstLine="540"/>
        <w:jc w:val="both"/>
        <w:rPr>
          <w:sz w:val="28"/>
          <w:szCs w:val="28"/>
        </w:rPr>
      </w:pPr>
      <w:r w:rsidRPr="00483DF1">
        <w:rPr>
          <w:sz w:val="28"/>
          <w:szCs w:val="28"/>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(ст. 25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t>- программа муниципальных внутренних заимствований на очередной финансовый год и плановый период (приложения №№18, 19);</w:t>
      </w:r>
    </w:p>
    <w:p w:rsidR="00483DF1" w:rsidRPr="00483DF1" w:rsidRDefault="00483DF1" w:rsidP="00483DF1">
      <w:pPr>
        <w:pStyle w:val="ConsPlusNormal"/>
        <w:spacing w:before="220"/>
        <w:ind w:firstLine="540"/>
        <w:jc w:val="both"/>
        <w:rPr>
          <w:sz w:val="28"/>
          <w:szCs w:val="28"/>
        </w:rPr>
      </w:pPr>
      <w:r w:rsidRPr="00483DF1">
        <w:rPr>
          <w:sz w:val="28"/>
          <w:szCs w:val="28"/>
        </w:rPr>
        <w:t>- программа муниципальных гарантий на очередной финансовый год и плановый период (приложения №№20, 21);</w:t>
      </w:r>
    </w:p>
    <w:p w:rsidR="00483DF1" w:rsidRPr="00483DF1" w:rsidRDefault="00483DF1" w:rsidP="00483DF1">
      <w:pPr>
        <w:pStyle w:val="ConsPlusNormal"/>
        <w:spacing w:before="220"/>
        <w:ind w:firstLine="540"/>
        <w:jc w:val="both"/>
        <w:rPr>
          <w:sz w:val="28"/>
          <w:szCs w:val="28"/>
        </w:rPr>
      </w:pPr>
      <w:r w:rsidRPr="00483DF1">
        <w:rPr>
          <w:sz w:val="28"/>
          <w:szCs w:val="28"/>
        </w:rPr>
        <w:t>- иные показатели местного бюджета, установленные законодательством и нормативными правовыми актами Совета депутатов.</w:t>
      </w:r>
    </w:p>
    <w:p w:rsidR="00483DF1" w:rsidRPr="00483DF1" w:rsidRDefault="00483DF1" w:rsidP="00483DF1">
      <w:pPr>
        <w:pStyle w:val="ConsPlusNormal"/>
        <w:spacing w:before="220"/>
        <w:ind w:firstLine="540"/>
        <w:jc w:val="both"/>
        <w:rPr>
          <w:sz w:val="28"/>
          <w:szCs w:val="28"/>
        </w:rPr>
      </w:pPr>
      <w:r w:rsidRPr="00483DF1">
        <w:rPr>
          <w:sz w:val="28"/>
          <w:szCs w:val="28"/>
        </w:rPr>
        <w:t>Проектом бюджета также утверждаются:</w:t>
      </w:r>
    </w:p>
    <w:p w:rsidR="00483DF1" w:rsidRPr="00483DF1" w:rsidRDefault="00483DF1" w:rsidP="00483DF1">
      <w:pPr>
        <w:pStyle w:val="ConsPlusNormal"/>
        <w:spacing w:before="220"/>
        <w:ind w:firstLine="540"/>
        <w:jc w:val="both"/>
        <w:rPr>
          <w:sz w:val="28"/>
          <w:szCs w:val="28"/>
        </w:rPr>
      </w:pPr>
      <w:r w:rsidRPr="00483DF1">
        <w:rPr>
          <w:sz w:val="28"/>
          <w:szCs w:val="28"/>
        </w:rPr>
        <w:t>- размер резервного фонда администрации Талдомского городского округа (ст. 30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t>- объем расходов на обслуживание муниципального долга Талдомского городского округа (ст. 26 проекта решения);</w:t>
      </w:r>
    </w:p>
    <w:p w:rsidR="00483DF1" w:rsidRPr="00483DF1" w:rsidRDefault="00483DF1" w:rsidP="00483DF1">
      <w:pPr>
        <w:pStyle w:val="ConsPlusNormal"/>
        <w:spacing w:before="220"/>
        <w:ind w:firstLine="540"/>
        <w:jc w:val="both"/>
        <w:rPr>
          <w:sz w:val="28"/>
          <w:szCs w:val="28"/>
        </w:rPr>
      </w:pPr>
      <w:r w:rsidRPr="00483DF1">
        <w:rPr>
          <w:sz w:val="28"/>
          <w:szCs w:val="28"/>
        </w:rPr>
        <w:t>- объем бюджетных ассигнований Дорожного фонда Талдомского городского округа (ст. 31 проекта решения).</w:t>
      </w:r>
    </w:p>
    <w:p w:rsidR="00483DF1" w:rsidRPr="00483DF1" w:rsidRDefault="00483DF1" w:rsidP="00483DF1">
      <w:pPr>
        <w:jc w:val="both"/>
        <w:rPr>
          <w:rFonts w:ascii="Times New Roman" w:hAnsi="Times New Roman" w:cs="Times New Roman"/>
          <w:sz w:val="28"/>
          <w:szCs w:val="28"/>
        </w:rPr>
      </w:pPr>
    </w:p>
    <w:p w:rsidR="00483DF1" w:rsidRPr="00483DF1" w:rsidRDefault="00483DF1" w:rsidP="00483DF1">
      <w:pPr>
        <w:pStyle w:val="1"/>
        <w:rPr>
          <w:rFonts w:ascii="Times New Roman" w:hAnsi="Times New Roman" w:cs="Times New Roman"/>
          <w:sz w:val="28"/>
          <w:szCs w:val="28"/>
        </w:rPr>
      </w:pPr>
      <w:r w:rsidRPr="00483DF1">
        <w:rPr>
          <w:rFonts w:ascii="Times New Roman" w:hAnsi="Times New Roman" w:cs="Times New Roman"/>
          <w:sz w:val="28"/>
          <w:szCs w:val="28"/>
        </w:rPr>
        <w:t>Выводы</w:t>
      </w:r>
    </w:p>
    <w:p w:rsidR="00483DF1" w:rsidRPr="00483DF1" w:rsidRDefault="00483DF1" w:rsidP="00483DF1">
      <w:pPr>
        <w:pStyle w:val="ConsPlusNormal"/>
        <w:ind w:firstLine="540"/>
        <w:jc w:val="both"/>
        <w:rPr>
          <w:sz w:val="28"/>
          <w:szCs w:val="28"/>
        </w:rPr>
      </w:pPr>
      <w:r w:rsidRPr="00483DF1">
        <w:rPr>
          <w:sz w:val="28"/>
          <w:szCs w:val="28"/>
        </w:rPr>
        <w:t xml:space="preserve">1. Структура представленного проекта бюджета соответствует требованиям законодательства; </w:t>
      </w:r>
    </w:p>
    <w:p w:rsidR="00E5133F" w:rsidRDefault="00483DF1" w:rsidP="00E5133F">
      <w:pPr>
        <w:pStyle w:val="ConsPlusNormal"/>
        <w:ind w:firstLine="540"/>
        <w:jc w:val="both"/>
        <w:rPr>
          <w:sz w:val="28"/>
          <w:szCs w:val="28"/>
        </w:rPr>
      </w:pPr>
      <w:r w:rsidRPr="00483DF1">
        <w:rPr>
          <w:sz w:val="28"/>
          <w:szCs w:val="28"/>
        </w:rPr>
        <w:t>2. Перечень представленных документов и материалов соответствуют перечню, указанному в статье 184.2 Бюджетного кодекса РФ и в статье 20 Положения о бюджетном процессе.</w:t>
      </w:r>
    </w:p>
    <w:p w:rsidR="00483DF1" w:rsidRPr="00483DF1" w:rsidRDefault="00483DF1" w:rsidP="00E5133F">
      <w:pPr>
        <w:pStyle w:val="ConsPlusNormal"/>
        <w:ind w:firstLine="540"/>
        <w:jc w:val="both"/>
        <w:rPr>
          <w:sz w:val="28"/>
          <w:szCs w:val="28"/>
        </w:rPr>
      </w:pPr>
      <w:bookmarkStart w:id="0" w:name="_GoBack"/>
      <w:bookmarkEnd w:id="0"/>
      <w:r w:rsidRPr="00483DF1">
        <w:rPr>
          <w:sz w:val="28"/>
          <w:szCs w:val="28"/>
        </w:rPr>
        <w:t xml:space="preserve">3. Содержание, основные характеристики проекта решения соответствуют статье 184.1 Бюджетного кодекса РФ и статье 19 Положения о бюджетном процессе. </w:t>
      </w:r>
    </w:p>
    <w:p w:rsidR="00483DF1" w:rsidRPr="00483DF1" w:rsidRDefault="00483DF1" w:rsidP="00483DF1">
      <w:pPr>
        <w:ind w:firstLine="709"/>
        <w:jc w:val="both"/>
        <w:rPr>
          <w:rFonts w:ascii="Times New Roman" w:hAnsi="Times New Roman" w:cs="Times New Roman"/>
          <w:sz w:val="28"/>
          <w:szCs w:val="28"/>
        </w:rPr>
      </w:pPr>
      <w:r w:rsidRPr="00483DF1">
        <w:rPr>
          <w:rFonts w:ascii="Times New Roman" w:hAnsi="Times New Roman" w:cs="Times New Roman"/>
          <w:sz w:val="28"/>
          <w:szCs w:val="28"/>
        </w:rPr>
        <w:t xml:space="preserve">Контрольно-счетная палата Талдомского городского округа рекомендует Совету депутатов Талдомского городского округа принять к рассмотрению </w:t>
      </w:r>
      <w:r w:rsidRPr="00483DF1">
        <w:rPr>
          <w:rFonts w:ascii="Times New Roman" w:hAnsi="Times New Roman" w:cs="Times New Roman"/>
          <w:sz w:val="28"/>
          <w:szCs w:val="28"/>
          <w:shd w:val="clear" w:color="auto" w:fill="FFFFFF"/>
        </w:rPr>
        <w:t>проект Решения «О бюджете Талдомского городского округа на 2021 год и на плановый период 2022 и 2023 годов».</w:t>
      </w:r>
    </w:p>
    <w:p w:rsidR="00483DF1" w:rsidRPr="00483DF1" w:rsidRDefault="00483DF1" w:rsidP="002C3CED">
      <w:pPr>
        <w:ind w:firstLine="709"/>
        <w:jc w:val="both"/>
        <w:rPr>
          <w:rFonts w:ascii="Times New Roman" w:hAnsi="Times New Roman" w:cs="Times New Roman"/>
          <w:sz w:val="28"/>
          <w:szCs w:val="28"/>
        </w:rPr>
      </w:pPr>
    </w:p>
    <w:p w:rsidR="00134587" w:rsidRPr="00D53D37" w:rsidRDefault="00134587" w:rsidP="00B23C24">
      <w:pPr>
        <w:ind w:firstLine="709"/>
        <w:jc w:val="both"/>
        <w:rPr>
          <w:rFonts w:ascii="Times New Roman" w:hAnsi="Times New Roman" w:cs="Times New Roman"/>
          <w:sz w:val="28"/>
          <w:szCs w:val="28"/>
        </w:rPr>
      </w:pPr>
    </w:p>
    <w:p w:rsidR="00D53D37" w:rsidRDefault="00D53D37"/>
    <w:sectPr w:rsidR="00D53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ED"/>
    <w:rsid w:val="000C0A21"/>
    <w:rsid w:val="00134587"/>
    <w:rsid w:val="00217BB9"/>
    <w:rsid w:val="002C3CED"/>
    <w:rsid w:val="003015C4"/>
    <w:rsid w:val="0031413F"/>
    <w:rsid w:val="00337099"/>
    <w:rsid w:val="00375347"/>
    <w:rsid w:val="00483DF1"/>
    <w:rsid w:val="00552C9B"/>
    <w:rsid w:val="00560B98"/>
    <w:rsid w:val="005F4146"/>
    <w:rsid w:val="00697F43"/>
    <w:rsid w:val="006C36CD"/>
    <w:rsid w:val="006E21EA"/>
    <w:rsid w:val="0094610D"/>
    <w:rsid w:val="009D4687"/>
    <w:rsid w:val="00AE303A"/>
    <w:rsid w:val="00B23C24"/>
    <w:rsid w:val="00B466C2"/>
    <w:rsid w:val="00C81932"/>
    <w:rsid w:val="00D53D37"/>
    <w:rsid w:val="00DB3877"/>
    <w:rsid w:val="00E5133F"/>
    <w:rsid w:val="00E92F8E"/>
    <w:rsid w:val="00F306E1"/>
    <w:rsid w:val="00F762ED"/>
    <w:rsid w:val="00FC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57EB"/>
  <w15:chartTrackingRefBased/>
  <w15:docId w15:val="{040E0349-1A75-4EFE-83F7-DC17A1C4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3DF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D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3">
    <w:name w:val="Strong"/>
    <w:qFormat/>
    <w:rsid w:val="002C3CED"/>
    <w:rPr>
      <w:b/>
      <w:bCs/>
    </w:rPr>
  </w:style>
  <w:style w:type="character" w:customStyle="1" w:styleId="10">
    <w:name w:val="Заголовок 1 Знак"/>
    <w:basedOn w:val="a0"/>
    <w:link w:val="1"/>
    <w:rsid w:val="00483DF1"/>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1B703E659BB1B7182DA07F6B9A90F01C5C6C370F5FC18C1BFAF9892EED854D04820E4A645D529D5A26B242404JE01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2020-11-19T11:07:00Z</dcterms:created>
  <dcterms:modified xsi:type="dcterms:W3CDTF">2020-11-19T11:13:00Z</dcterms:modified>
</cp:coreProperties>
</file>